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71606" w14:textId="7942E0CC" w:rsidR="00A81B40" w:rsidRPr="00E73193" w:rsidRDefault="00FE4421">
      <w:pPr>
        <w:pStyle w:val="a3"/>
        <w:tabs>
          <w:tab w:val="left" w:pos="3360"/>
          <w:tab w:val="left" w:pos="6096"/>
        </w:tabs>
        <w:spacing w:before="0"/>
        <w:ind w:left="1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E73193">
        <w:rPr>
          <w:rFonts w:ascii="Times New Roman" w:hAnsi="Times New Roman" w:cs="Times New Roman"/>
          <w:b/>
          <w:color w:val="000000" w:themeColor="text1"/>
          <w:lang w:eastAsia="zh-CN"/>
        </w:rPr>
        <w:t>Stock Code:</w:t>
      </w:r>
      <w:r w:rsidR="001C3F4C" w:rsidRPr="00E73193">
        <w:rPr>
          <w:rFonts w:ascii="Times New Roman" w:hAnsi="Times New Roman" w:cs="Times New Roman"/>
          <w:b/>
          <w:color w:val="000000" w:themeColor="text1"/>
          <w:lang w:eastAsia="zh-CN"/>
        </w:rPr>
        <w:t>60</w:t>
      </w:r>
      <w:r w:rsidR="00CF47F2">
        <w:rPr>
          <w:rFonts w:ascii="Times New Roman" w:hAnsi="Times New Roman" w:cs="Times New Roman"/>
          <w:b/>
          <w:color w:val="000000" w:themeColor="text1"/>
          <w:lang w:eastAsia="zh-CN"/>
        </w:rPr>
        <w:t>3659</w:t>
      </w:r>
      <w:r w:rsidR="00EE257A">
        <w:rPr>
          <w:rFonts w:ascii="Times New Roman" w:hAnsi="Times New Roman" w:cs="Times New Roman" w:hint="eastAsia"/>
          <w:b/>
          <w:color w:val="000000" w:themeColor="text1"/>
          <w:lang w:eastAsia="zh-CN"/>
        </w:rPr>
        <w:t>.</w:t>
      </w:r>
      <w:r w:rsidR="001C3F4C" w:rsidRPr="00E73193">
        <w:rPr>
          <w:rFonts w:ascii="Times New Roman" w:hAnsi="Times New Roman" w:cs="Times New Roman"/>
          <w:b/>
          <w:color w:val="000000" w:themeColor="text1"/>
          <w:lang w:eastAsia="zh-CN"/>
        </w:rPr>
        <w:t>SH</w:t>
      </w:r>
      <w:r w:rsidR="008A408B" w:rsidRPr="00E73193">
        <w:rPr>
          <w:rFonts w:ascii="Times New Roman" w:hAnsi="Times New Roman" w:cs="Times New Roman"/>
          <w:b/>
          <w:color w:val="000000" w:themeColor="text1"/>
          <w:lang w:eastAsia="zh-CN"/>
        </w:rPr>
        <w:tab/>
      </w:r>
      <w:r w:rsidR="001C3F4C" w:rsidRPr="00E73193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                              </w:t>
      </w:r>
      <w:r w:rsidRPr="00E73193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                   </w:t>
      </w:r>
      <w:r w:rsidR="00804EF1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        </w:t>
      </w:r>
      <w:r w:rsidRPr="00E73193">
        <w:rPr>
          <w:rFonts w:ascii="Times New Roman" w:hAnsi="Times New Roman" w:cs="Times New Roman"/>
          <w:b/>
          <w:color w:val="000000" w:themeColor="text1"/>
          <w:lang w:eastAsia="zh-CN"/>
        </w:rPr>
        <w:t>Stock ID:</w:t>
      </w:r>
      <w:r w:rsidR="002F3889" w:rsidRPr="00E73193">
        <w:rPr>
          <w:rFonts w:ascii="Times New Roman" w:hAnsi="Times New Roman" w:cs="Times New Roman"/>
          <w:b/>
          <w:color w:val="000000" w:themeColor="text1"/>
          <w:lang w:eastAsia="zh-CN"/>
        </w:rPr>
        <w:t xml:space="preserve"> </w:t>
      </w:r>
      <w:r w:rsidR="00804EF1">
        <w:rPr>
          <w:rFonts w:ascii="Times New Roman" w:hAnsi="Times New Roman" w:cs="Times New Roman"/>
          <w:b/>
          <w:color w:val="000000" w:themeColor="text1"/>
          <w:lang w:eastAsia="zh-CN"/>
        </w:rPr>
        <w:t>PTL</w:t>
      </w:r>
    </w:p>
    <w:p w14:paraId="1EE49915" w14:textId="77777777" w:rsidR="00A81B40" w:rsidRPr="00E73193" w:rsidRDefault="00A81B40">
      <w:pPr>
        <w:pStyle w:val="a3"/>
        <w:spacing w:before="0"/>
        <w:ind w:left="0"/>
        <w:rPr>
          <w:rFonts w:ascii="Times New Roman" w:hAnsi="Times New Roman" w:cs="Times New Roman"/>
          <w:b/>
          <w:color w:val="000000" w:themeColor="text1"/>
          <w:sz w:val="26"/>
          <w:lang w:eastAsia="zh-CN"/>
        </w:rPr>
      </w:pPr>
    </w:p>
    <w:p w14:paraId="42D1773F" w14:textId="7BD68ED1" w:rsidR="00A81B40" w:rsidRPr="00E73193" w:rsidRDefault="008A408B">
      <w:pPr>
        <w:pStyle w:val="af2"/>
        <w:spacing w:before="120" w:after="120"/>
        <w:ind w:firstLineChars="0" w:firstLine="0"/>
        <w:jc w:val="center"/>
        <w:rPr>
          <w:b/>
          <w:color w:val="000000" w:themeColor="text1"/>
          <w:sz w:val="32"/>
          <w:szCs w:val="36"/>
        </w:rPr>
      </w:pPr>
      <w:r w:rsidRPr="00E73193">
        <w:rPr>
          <w:b/>
          <w:color w:val="000000" w:themeColor="text1"/>
          <w:sz w:val="32"/>
          <w:szCs w:val="36"/>
        </w:rPr>
        <w:t xml:space="preserve">Shanghai </w:t>
      </w:r>
      <w:proofErr w:type="spellStart"/>
      <w:r w:rsidRPr="00E73193">
        <w:rPr>
          <w:b/>
          <w:color w:val="000000" w:themeColor="text1"/>
          <w:sz w:val="32"/>
          <w:szCs w:val="36"/>
        </w:rPr>
        <w:t>Putailai</w:t>
      </w:r>
      <w:proofErr w:type="spellEnd"/>
      <w:r w:rsidRPr="00E73193">
        <w:rPr>
          <w:b/>
          <w:color w:val="000000" w:themeColor="text1"/>
          <w:sz w:val="32"/>
          <w:szCs w:val="36"/>
        </w:rPr>
        <w:t xml:space="preserve"> New Energy Technology Co., Ltd.</w:t>
      </w:r>
      <w:r w:rsidR="0033423F">
        <w:rPr>
          <w:b/>
          <w:color w:val="000000" w:themeColor="text1"/>
          <w:sz w:val="32"/>
          <w:szCs w:val="36"/>
        </w:rPr>
        <w:t>(</w:t>
      </w:r>
      <w:r w:rsidR="0033423F">
        <w:rPr>
          <w:b/>
          <w:color w:val="000000" w:themeColor="text1"/>
          <w:sz w:val="32"/>
          <w:szCs w:val="36"/>
        </w:rPr>
        <w:tab/>
        <w:t>PTL)</w:t>
      </w:r>
    </w:p>
    <w:p w14:paraId="78D883B3" w14:textId="11CFE4A1" w:rsidR="005B0946" w:rsidRPr="00E73193" w:rsidRDefault="00AD7E0F" w:rsidP="005B0946">
      <w:pPr>
        <w:pStyle w:val="af2"/>
        <w:spacing w:before="120" w:after="120"/>
        <w:ind w:firstLineChars="0" w:firstLine="0"/>
        <w:jc w:val="center"/>
        <w:rPr>
          <w:b/>
          <w:color w:val="000000" w:themeColor="text1"/>
          <w:sz w:val="32"/>
          <w:szCs w:val="36"/>
        </w:rPr>
      </w:pPr>
      <w:r>
        <w:rPr>
          <w:b/>
          <w:color w:val="000000" w:themeColor="text1"/>
          <w:sz w:val="32"/>
          <w:szCs w:val="36"/>
        </w:rPr>
        <w:t>Announcement on the 2024</w:t>
      </w:r>
      <w:r w:rsidR="006F6992" w:rsidRPr="006F6992">
        <w:rPr>
          <w:b/>
          <w:color w:val="000000" w:themeColor="text1"/>
          <w:sz w:val="32"/>
          <w:szCs w:val="36"/>
        </w:rPr>
        <w:t xml:space="preserve"> Profit Distribution Plan</w:t>
      </w:r>
    </w:p>
    <w:p w14:paraId="2CB80B85" w14:textId="5425CA0C" w:rsidR="00A81B40" w:rsidRPr="00E23C71" w:rsidRDefault="00AD7E0F" w:rsidP="000F72DB">
      <w:pPr>
        <w:pStyle w:val="a3"/>
        <w:tabs>
          <w:tab w:val="left" w:pos="8222"/>
        </w:tabs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On April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25</w:t>
      </w:r>
      <w:r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,202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5</w:t>
      </w:r>
      <w:r w:rsidR="00F21E50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, </w:t>
      </w:r>
      <w:r w:rsidR="008A408B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Shanghai </w:t>
      </w:r>
      <w:proofErr w:type="spellStart"/>
      <w:r w:rsidR="008A408B" w:rsidRPr="00E23C71">
        <w:rPr>
          <w:rFonts w:ascii="Times New Roman" w:hAnsi="Times New Roman" w:cs="Times New Roman"/>
          <w:color w:val="000000" w:themeColor="text1"/>
          <w:lang w:eastAsia="zh-CN"/>
        </w:rPr>
        <w:t>Putailai</w:t>
      </w:r>
      <w:proofErr w:type="spellEnd"/>
      <w:r w:rsidR="008A408B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New Energy Technology Co., Ltd. (</w:t>
      </w:r>
      <w:r w:rsidR="00C115A9" w:rsidRPr="00E23C71">
        <w:rPr>
          <w:rFonts w:ascii="Times New Roman" w:hAnsi="Times New Roman" w:cs="Times New Roman"/>
          <w:color w:val="000000" w:themeColor="text1"/>
          <w:lang w:eastAsia="zh-CN"/>
        </w:rPr>
        <w:t>“</w:t>
      </w:r>
      <w:r w:rsidR="0033423F" w:rsidRPr="00E23C71">
        <w:rPr>
          <w:rFonts w:ascii="Times New Roman" w:hAnsi="Times New Roman" w:cs="Times New Roman"/>
          <w:color w:val="000000" w:themeColor="text1"/>
          <w:lang w:eastAsia="zh-CN"/>
        </w:rPr>
        <w:t>PTL</w:t>
      </w:r>
      <w:r w:rsidR="006F6992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") </w:t>
      </w:r>
      <w:r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held the</w:t>
      </w:r>
      <w:r w:rsidR="00F21E50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5</w:t>
      </w:r>
      <w:r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th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meeting of the forth</w:t>
      </w:r>
      <w:bookmarkStart w:id="0" w:name="OLE_LINK70"/>
      <w:r w:rsidR="006F6992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B9762B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B</w:t>
      </w:r>
      <w:r w:rsidR="006F6992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oard of </w:t>
      </w:r>
      <w:proofErr w:type="gramStart"/>
      <w:r w:rsidR="00B9762B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D</w:t>
      </w:r>
      <w:r w:rsidR="006F6992" w:rsidRPr="00E23C71">
        <w:rPr>
          <w:rFonts w:ascii="Times New Roman" w:hAnsi="Times New Roman" w:cs="Times New Roman"/>
          <w:color w:val="000000" w:themeColor="text1"/>
          <w:lang w:eastAsia="zh-CN"/>
        </w:rPr>
        <w:t>irectors</w:t>
      </w:r>
      <w:bookmarkEnd w:id="0"/>
      <w:r w:rsidR="00FB325D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6F6992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and</w:t>
      </w:r>
      <w:proofErr w:type="gramEnd"/>
      <w:r w:rsidR="006F6992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approved the </w:t>
      </w:r>
      <w:r w:rsidR="006C1B6D" w:rsidRPr="00E23C71">
        <w:rPr>
          <w:rFonts w:ascii="Times New Roman" w:hAnsi="Times New Roman" w:cs="Times New Roman"/>
          <w:bCs/>
          <w:color w:val="000000" w:themeColor="text1"/>
          <w:lang w:eastAsia="zh-CN"/>
        </w:rPr>
        <w:t>Proposal</w:t>
      </w:r>
      <w:r w:rsidR="006F6992" w:rsidRPr="00E23C71">
        <w:rPr>
          <w:rFonts w:ascii="Times New Roman" w:hAnsi="Times New Roman" w:cs="Times New Roman"/>
          <w:bCs/>
          <w:color w:val="000000" w:themeColor="text1"/>
          <w:lang w:eastAsia="zh-CN"/>
        </w:rPr>
        <w:t xml:space="preserve"> </w:t>
      </w:r>
      <w:r w:rsidR="006C1B6D" w:rsidRPr="00E23C71">
        <w:rPr>
          <w:rFonts w:ascii="Times New Roman" w:hAnsi="Times New Roman" w:cs="Times New Roman" w:hint="eastAsia"/>
          <w:bCs/>
          <w:color w:val="000000" w:themeColor="text1"/>
          <w:lang w:eastAsia="zh-CN"/>
        </w:rPr>
        <w:t>on the Profit</w:t>
      </w:r>
      <w:r w:rsidR="006C1B6D" w:rsidRPr="00E23C71">
        <w:rPr>
          <w:rFonts w:ascii="Times New Roman" w:hAnsi="Times New Roman" w:cs="Times New Roman"/>
          <w:bCs/>
          <w:color w:val="000000" w:themeColor="text1"/>
          <w:lang w:eastAsia="zh-CN"/>
        </w:rPr>
        <w:t xml:space="preserve"> </w:t>
      </w:r>
      <w:r w:rsidR="006F6992" w:rsidRPr="00E23C71">
        <w:rPr>
          <w:rFonts w:ascii="Times New Roman" w:hAnsi="Times New Roman" w:cs="Times New Roman"/>
          <w:bCs/>
          <w:color w:val="000000" w:themeColor="text1"/>
          <w:lang w:eastAsia="zh-CN"/>
        </w:rPr>
        <w:t>Distribut</w:t>
      </w:r>
      <w:r w:rsidRPr="00E23C71">
        <w:rPr>
          <w:rFonts w:ascii="Times New Roman" w:hAnsi="Times New Roman" w:cs="Times New Roman"/>
          <w:bCs/>
          <w:color w:val="000000" w:themeColor="text1"/>
          <w:lang w:eastAsia="zh-CN"/>
        </w:rPr>
        <w:t xml:space="preserve">ion </w:t>
      </w:r>
      <w:r w:rsidR="00B9762B" w:rsidRPr="00E23C71">
        <w:rPr>
          <w:rFonts w:ascii="Times New Roman" w:hAnsi="Times New Roman" w:cs="Times New Roman" w:hint="eastAsia"/>
          <w:bCs/>
          <w:color w:val="000000" w:themeColor="text1"/>
          <w:lang w:eastAsia="zh-CN"/>
        </w:rPr>
        <w:t xml:space="preserve">Plan </w:t>
      </w:r>
      <w:r w:rsidRPr="00E23C71">
        <w:rPr>
          <w:rFonts w:ascii="Times New Roman" w:hAnsi="Times New Roman" w:cs="Times New Roman"/>
          <w:bCs/>
          <w:color w:val="000000" w:themeColor="text1"/>
          <w:lang w:eastAsia="zh-CN"/>
        </w:rPr>
        <w:t>for the Year 2024</w:t>
      </w:r>
      <w:r w:rsidR="006F6992" w:rsidRPr="00E23C71">
        <w:rPr>
          <w:rFonts w:ascii="Times New Roman" w:hAnsi="Times New Roman" w:cs="Times New Roman"/>
          <w:color w:val="000000" w:themeColor="text1"/>
          <w:lang w:eastAsia="zh-CN"/>
        </w:rPr>
        <w:t>.</w:t>
      </w:r>
    </w:p>
    <w:p w14:paraId="64936B2F" w14:textId="56D217B6" w:rsidR="0063046F" w:rsidRPr="00E23C71" w:rsidRDefault="0063046F" w:rsidP="000F72DB">
      <w:pPr>
        <w:pStyle w:val="a3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E23C71">
        <w:rPr>
          <w:rFonts w:ascii="Times New Roman" w:hAnsi="Times New Roman" w:cs="Times New Roman"/>
          <w:color w:val="000000" w:themeColor="text1"/>
          <w:lang w:eastAsia="zh-CN"/>
        </w:rPr>
        <w:t>According to the Audit Report (</w:t>
      </w:r>
      <w:proofErr w:type="gramStart"/>
      <w:r w:rsidRPr="00E23C71">
        <w:rPr>
          <w:rFonts w:ascii="Times New Roman" w:hAnsi="Times New Roman" w:cs="Times New Roman"/>
          <w:color w:val="000000" w:themeColor="text1"/>
          <w:lang w:eastAsia="zh-CN"/>
        </w:rPr>
        <w:t>EYHM(</w:t>
      </w:r>
      <w:proofErr w:type="gramEnd"/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2025) Audit No. 70036285_B02) issued by Ernst &amp; Young Hua Ming Certified Public Accountants LLP (Special General Partnership): PTL had undistributed profits of RMB 7,655,927,467.11 at the beginning of </w:t>
      </w:r>
      <w:r w:rsidR="00B9762B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2024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. Adding the net profit attributable to </w:t>
      </w:r>
      <w:r w:rsidR="00B9762B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shareholders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of the parent company in 2024 of RMB 1,190,617,983.28, </w:t>
      </w:r>
      <w:r w:rsidR="00B9762B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deducting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RMB 58,005,206.03 </w:t>
      </w:r>
      <w:r w:rsidR="00B9762B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appropriated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for statutory surplus reserves, and</w:t>
      </w:r>
      <w:bookmarkStart w:id="1" w:name="OLE_LINK71"/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bookmarkEnd w:id="1"/>
      <w:r w:rsidR="00B9762B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subtracting the</w:t>
      </w:r>
      <w:r w:rsidR="00804EF1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2024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cash dividend of RMB 297,951,081.82, the cumulat</w:t>
      </w:r>
      <w:r w:rsidR="00C86CE2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ed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distributable profits as of the end of the reporting period amounted to RMB 8,490,589,162.54.</w:t>
      </w:r>
    </w:p>
    <w:p w14:paraId="41828877" w14:textId="5E303B60" w:rsidR="00640EF1" w:rsidRPr="00E23C71" w:rsidRDefault="00B9762B" w:rsidP="000F72DB">
      <w:pPr>
        <w:pStyle w:val="a3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Based on </w:t>
      </w:r>
      <w:r w:rsidR="0063046F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the Board </w:t>
      </w:r>
      <w:r w:rsidR="006C1B6D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resolution</w:t>
      </w:r>
      <w:r w:rsidR="006C4BFB" w:rsidRPr="00E23C71">
        <w:rPr>
          <w:rFonts w:ascii="Times New Roman" w:hAnsi="Times New Roman" w:cs="Times New Roman"/>
          <w:color w:val="000000" w:themeColor="text1"/>
          <w:lang w:eastAsia="zh-CN"/>
        </w:rPr>
        <w:t>, PTL</w:t>
      </w:r>
      <w:r w:rsidR="0063046F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2024 profit distribution plan is as follows:</w:t>
      </w:r>
      <w:r w:rsidR="0063046F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</w:p>
    <w:p w14:paraId="4A55D0BA" w14:textId="6A2777F8" w:rsidR="00640EF1" w:rsidRPr="00E23C71" w:rsidRDefault="00447411" w:rsidP="000F72DB">
      <w:pPr>
        <w:pStyle w:val="a3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E23C71">
        <w:rPr>
          <w:rFonts w:ascii="Times New Roman" w:hAnsi="Times New Roman" w:cs="Times New Roman"/>
          <w:color w:val="000000" w:themeColor="text1"/>
          <w:lang w:eastAsia="zh-CN"/>
        </w:rPr>
        <w:t>PTL</w:t>
      </w:r>
      <w:r w:rsidR="0063046F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proposes to distribute a cash dividend of RMB 1.70 per 10 shares </w:t>
      </w:r>
      <w:r w:rsidR="00B9762B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(tax inclusive) </w:t>
      </w:r>
      <w:r w:rsidR="0063046F" w:rsidRPr="00E23C71">
        <w:rPr>
          <w:rFonts w:ascii="Times New Roman" w:hAnsi="Times New Roman" w:cs="Times New Roman"/>
          <w:color w:val="000000" w:themeColor="text1"/>
          <w:lang w:eastAsia="zh-CN"/>
        </w:rPr>
        <w:t>to all shareholders</w:t>
      </w:r>
      <w:r w:rsidR="006C1B6D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>.</w:t>
      </w:r>
      <w:r w:rsidR="006C1B6D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ED2D62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No bonus shares will be </w:t>
      </w:r>
      <w:r w:rsidR="0063046F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issued and </w:t>
      </w:r>
      <w:r w:rsidR="004318C9" w:rsidRPr="00E23C71">
        <w:rPr>
          <w:rFonts w:ascii="Times New Roman" w:hAnsi="Times New Roman" w:cs="Times New Roman"/>
          <w:color w:val="000000" w:themeColor="text1"/>
          <w:lang w:eastAsia="zh-CN"/>
        </w:rPr>
        <w:t>there will be no</w:t>
      </w:r>
      <w:r w:rsidR="006C1B6D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804EF1" w:rsidRPr="00E23C71">
        <w:rPr>
          <w:rFonts w:ascii="Times New Roman" w:hAnsi="Times New Roman" w:cs="Times New Roman"/>
          <w:color w:val="000000" w:themeColor="text1"/>
          <w:lang w:eastAsia="zh-CN"/>
        </w:rPr>
        <w:t>capital increase</w:t>
      </w:r>
      <w:r w:rsidR="0063046F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4318C9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from </w:t>
      </w:r>
      <w:r w:rsidR="0063046F"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capital reserves. </w:t>
      </w:r>
    </w:p>
    <w:p w14:paraId="56ADF8CD" w14:textId="44545B3F" w:rsidR="0063046F" w:rsidRPr="00E23C71" w:rsidRDefault="0063046F" w:rsidP="000F72DB">
      <w:pPr>
        <w:pStyle w:val="a3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E23C71">
        <w:rPr>
          <w:rFonts w:ascii="Times New Roman" w:hAnsi="Times New Roman" w:cs="Times New Roman"/>
          <w:color w:val="000000" w:themeColor="text1"/>
          <w:lang w:eastAsia="zh-CN"/>
        </w:rPr>
        <w:t>As of April 25</w:t>
      </w:r>
      <w:r w:rsidR="00804EF1" w:rsidRPr="00E23C71">
        <w:rPr>
          <w:rFonts w:ascii="Times New Roman" w:hAnsi="Times New Roman" w:cs="Times New Roman"/>
          <w:color w:val="000000" w:themeColor="text1"/>
          <w:lang w:eastAsia="zh-CN"/>
        </w:rPr>
        <w:t>, 2025, the total share capital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4318C9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was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2,137,165,372 shares, of which 32,632,415 shares repurchased through centralized competitive biddin</w:t>
      </w:r>
      <w:bookmarkStart w:id="2" w:name="_GoBack"/>
      <w:bookmarkEnd w:id="2"/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g are not </w:t>
      </w:r>
      <w:r w:rsidR="004318C9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eligible for dividend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distribution. Therefore, based on the </w:t>
      </w:r>
      <w:r w:rsidR="004318C9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adjusted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share capital</w:t>
      </w:r>
      <w:r w:rsidR="004318C9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of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 xml:space="preserve"> 2,104,532,957 shares, the </w:t>
      </w:r>
      <w:r w:rsidR="008B1509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proposed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total cash dividend is RMB 357,770,602.69 (</w:t>
      </w:r>
      <w:r w:rsidR="008B1509" w:rsidRPr="00E23C71"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tax </w:t>
      </w:r>
      <w:r w:rsidRPr="00E23C71">
        <w:rPr>
          <w:rFonts w:ascii="Times New Roman" w:hAnsi="Times New Roman" w:cs="Times New Roman"/>
          <w:color w:val="000000" w:themeColor="text1"/>
          <w:lang w:eastAsia="zh-CN"/>
        </w:rPr>
        <w:t>inclusive), representing 30.05% of the net profit attributable to shareholders of the listed company in 2024.</w:t>
      </w:r>
    </w:p>
    <w:p w14:paraId="61E81B43" w14:textId="77777777" w:rsidR="00931472" w:rsidRPr="00E73193" w:rsidRDefault="00931472" w:rsidP="00931472">
      <w:pPr>
        <w:pStyle w:val="a3"/>
        <w:spacing w:before="0" w:line="360" w:lineRule="auto"/>
        <w:ind w:left="0" w:firstLineChars="200" w:firstLine="480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040EE96F" w14:textId="77777777" w:rsidR="00A81B40" w:rsidRPr="00E73193" w:rsidRDefault="008A408B" w:rsidP="000F72DB">
      <w:pPr>
        <w:pStyle w:val="a3"/>
        <w:spacing w:before="0" w:line="360" w:lineRule="auto"/>
        <w:ind w:left="0" w:firstLineChars="200" w:firstLine="480"/>
        <w:jc w:val="right"/>
        <w:rPr>
          <w:rFonts w:ascii="Times New Roman" w:hAnsi="Times New Roman" w:cs="Times New Roman"/>
          <w:color w:val="000000" w:themeColor="text1"/>
          <w:lang w:eastAsia="zh-CN"/>
        </w:rPr>
      </w:pPr>
      <w:r w:rsidRPr="00E73193">
        <w:rPr>
          <w:rFonts w:ascii="Times New Roman" w:hAnsi="Times New Roman" w:cs="Times New Roman"/>
          <w:color w:val="000000" w:themeColor="text1"/>
          <w:lang w:eastAsia="zh-CN"/>
        </w:rPr>
        <w:t xml:space="preserve">Shanghai </w:t>
      </w:r>
      <w:proofErr w:type="spellStart"/>
      <w:r w:rsidRPr="00E73193">
        <w:rPr>
          <w:rFonts w:ascii="Times New Roman" w:hAnsi="Times New Roman" w:cs="Times New Roman"/>
          <w:color w:val="000000" w:themeColor="text1"/>
          <w:lang w:eastAsia="zh-CN"/>
        </w:rPr>
        <w:t>Putailai</w:t>
      </w:r>
      <w:proofErr w:type="spellEnd"/>
      <w:r w:rsidRPr="00E73193">
        <w:rPr>
          <w:rFonts w:ascii="Times New Roman" w:hAnsi="Times New Roman" w:cs="Times New Roman"/>
          <w:color w:val="000000" w:themeColor="text1"/>
          <w:lang w:eastAsia="zh-CN"/>
        </w:rPr>
        <w:t xml:space="preserve"> New Energy Technology Co., Ltd.</w:t>
      </w:r>
    </w:p>
    <w:p w14:paraId="4B1DF34F" w14:textId="77777777" w:rsidR="001C3F4C" w:rsidRPr="00E73193" w:rsidRDefault="001C3F4C" w:rsidP="000F72DB">
      <w:pPr>
        <w:pStyle w:val="a3"/>
        <w:spacing w:before="0" w:line="360" w:lineRule="auto"/>
        <w:ind w:left="0" w:firstLineChars="200" w:firstLine="480"/>
        <w:jc w:val="right"/>
        <w:rPr>
          <w:rFonts w:ascii="Times New Roman" w:hAnsi="Times New Roman" w:cs="Times New Roman"/>
          <w:color w:val="000000" w:themeColor="text1"/>
          <w:lang w:eastAsia="zh-CN"/>
        </w:rPr>
      </w:pPr>
      <w:r w:rsidRPr="00E73193">
        <w:rPr>
          <w:rFonts w:ascii="Times New Roman" w:hAnsi="Times New Roman" w:cs="Times New Roman"/>
          <w:color w:val="000000" w:themeColor="text1"/>
          <w:lang w:eastAsia="zh-CN"/>
        </w:rPr>
        <w:t>Board of Directors</w:t>
      </w:r>
    </w:p>
    <w:p w14:paraId="570BE913" w14:textId="22129B82" w:rsidR="00A81B40" w:rsidRPr="00E73193" w:rsidRDefault="008A408B" w:rsidP="000F72DB">
      <w:pPr>
        <w:pStyle w:val="a3"/>
        <w:spacing w:before="0" w:line="360" w:lineRule="auto"/>
        <w:ind w:left="0" w:firstLineChars="200" w:firstLine="480"/>
        <w:jc w:val="right"/>
        <w:rPr>
          <w:rFonts w:ascii="Times New Roman" w:hAnsi="Times New Roman" w:cs="Times New Roman"/>
          <w:color w:val="000000" w:themeColor="text1"/>
          <w:lang w:eastAsia="zh-CN"/>
        </w:rPr>
      </w:pPr>
      <w:r w:rsidRPr="00E73193">
        <w:rPr>
          <w:rFonts w:ascii="Times New Roman" w:hAnsi="Times New Roman" w:cs="Times New Roman"/>
          <w:color w:val="000000" w:themeColor="text1"/>
          <w:lang w:eastAsia="zh-CN"/>
        </w:rPr>
        <w:t xml:space="preserve">April </w:t>
      </w:r>
      <w:r w:rsidR="00426640">
        <w:rPr>
          <w:rFonts w:ascii="Times New Roman" w:hAnsi="Times New Roman" w:cs="Times New Roman"/>
          <w:color w:val="000000" w:themeColor="text1"/>
          <w:lang w:eastAsia="zh-CN"/>
        </w:rPr>
        <w:t>26</w:t>
      </w:r>
      <w:r w:rsidR="001C3F4C" w:rsidRPr="00E73193">
        <w:rPr>
          <w:rFonts w:ascii="Times New Roman" w:hAnsi="Times New Roman" w:cs="Times New Roman"/>
          <w:color w:val="000000" w:themeColor="text1"/>
          <w:lang w:eastAsia="zh-CN"/>
        </w:rPr>
        <w:t>,20</w:t>
      </w:r>
      <w:r w:rsidR="00426640">
        <w:rPr>
          <w:rFonts w:ascii="Times New Roman" w:hAnsi="Times New Roman" w:cs="Times New Roman"/>
          <w:color w:val="000000" w:themeColor="text1"/>
          <w:lang w:eastAsia="zh-CN"/>
        </w:rPr>
        <w:t>25</w:t>
      </w:r>
    </w:p>
    <w:sectPr w:rsidR="00A81B40" w:rsidRPr="00E73193">
      <w:headerReference w:type="default" r:id="rId8"/>
      <w:pgSz w:w="11900" w:h="16840"/>
      <w:pgMar w:top="1440" w:right="1800" w:bottom="1276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EAB9B" w14:textId="77777777" w:rsidR="00702267" w:rsidRDefault="00702267" w:rsidP="00EC4D7D">
      <w:r>
        <w:separator/>
      </w:r>
    </w:p>
  </w:endnote>
  <w:endnote w:type="continuationSeparator" w:id="0">
    <w:p w14:paraId="0652E32A" w14:textId="77777777" w:rsidR="00702267" w:rsidRDefault="00702267" w:rsidP="00EC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4DFE" w14:textId="77777777" w:rsidR="00702267" w:rsidRDefault="00702267" w:rsidP="00EC4D7D">
      <w:r>
        <w:separator/>
      </w:r>
    </w:p>
  </w:footnote>
  <w:footnote w:type="continuationSeparator" w:id="0">
    <w:p w14:paraId="3C498D61" w14:textId="77777777" w:rsidR="00702267" w:rsidRDefault="00702267" w:rsidP="00EC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FCF3" w14:textId="1D39CC44" w:rsidR="00B61C61" w:rsidRDefault="00B61C61" w:rsidP="00B61C61">
    <w:pPr>
      <w:pStyle w:val="a9"/>
      <w:jc w:val="left"/>
    </w:pPr>
    <w:r>
      <w:rPr>
        <w:noProof/>
        <w:lang w:val="en-US" w:eastAsia="zh-CN"/>
      </w:rPr>
      <w:drawing>
        <wp:inline distT="0" distB="0" distL="0" distR="0" wp14:anchorId="4D5E05F3" wp14:editId="7520D29A">
          <wp:extent cx="922690" cy="309489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标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94" cy="36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AD67E37"/>
    <w:lvl w:ilvl="0">
      <w:start w:val="1"/>
      <w:numFmt w:val="decimal"/>
      <w:lvlText w:val="%1、"/>
      <w:lvlJc w:val="left"/>
      <w:pPr>
        <w:ind w:left="42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2" w:hanging="420"/>
      </w:pPr>
    </w:lvl>
    <w:lvl w:ilvl="2">
      <w:start w:val="1"/>
      <w:numFmt w:val="lowerRoman"/>
      <w:lvlText w:val="%3."/>
      <w:lvlJc w:val="right"/>
      <w:pPr>
        <w:ind w:left="1262" w:hanging="420"/>
      </w:pPr>
    </w:lvl>
    <w:lvl w:ilvl="3">
      <w:start w:val="1"/>
      <w:numFmt w:val="decimal"/>
      <w:lvlText w:val="%4."/>
      <w:lvlJc w:val="left"/>
      <w:pPr>
        <w:ind w:left="1682" w:hanging="420"/>
      </w:pPr>
    </w:lvl>
    <w:lvl w:ilvl="4">
      <w:start w:val="1"/>
      <w:numFmt w:val="lowerLetter"/>
      <w:lvlText w:val="%5)"/>
      <w:lvlJc w:val="left"/>
      <w:pPr>
        <w:ind w:left="2102" w:hanging="420"/>
      </w:pPr>
    </w:lvl>
    <w:lvl w:ilvl="5">
      <w:start w:val="1"/>
      <w:numFmt w:val="lowerRoman"/>
      <w:lvlText w:val="%6."/>
      <w:lvlJc w:val="right"/>
      <w:pPr>
        <w:ind w:left="2522" w:hanging="420"/>
      </w:pPr>
    </w:lvl>
    <w:lvl w:ilvl="6">
      <w:start w:val="1"/>
      <w:numFmt w:val="decimal"/>
      <w:lvlText w:val="%7."/>
      <w:lvlJc w:val="left"/>
      <w:pPr>
        <w:ind w:left="2942" w:hanging="420"/>
      </w:pPr>
    </w:lvl>
    <w:lvl w:ilvl="7">
      <w:start w:val="1"/>
      <w:numFmt w:val="lowerLetter"/>
      <w:lvlText w:val="%8)"/>
      <w:lvlJc w:val="left"/>
      <w:pPr>
        <w:ind w:left="3362" w:hanging="420"/>
      </w:pPr>
    </w:lvl>
    <w:lvl w:ilvl="8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00000002"/>
    <w:multiLevelType w:val="multilevel"/>
    <w:tmpl w:val="42EB607D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FB17F95"/>
    <w:lvl w:ilvl="0">
      <w:start w:val="1"/>
      <w:numFmt w:val="chineseCountingThousand"/>
      <w:lvlText w:val="%1、"/>
      <w:lvlJc w:val="left"/>
      <w:pPr>
        <w:ind w:left="902" w:hanging="420"/>
      </w:pPr>
    </w:lvl>
    <w:lvl w:ilvl="1">
      <w:start w:val="1"/>
      <w:numFmt w:val="japaneseCounting"/>
      <w:lvlText w:val="（%2）"/>
      <w:lvlJc w:val="left"/>
      <w:pPr>
        <w:ind w:left="162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0000004"/>
    <w:multiLevelType w:val="multilevel"/>
    <w:tmpl w:val="E59AFF82"/>
    <w:lvl w:ilvl="0">
      <w:start w:val="1"/>
      <w:numFmt w:val="decimal"/>
      <w:suff w:val="nothing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4" w15:restartNumberingAfterBreak="0">
    <w:nsid w:val="31413E65"/>
    <w:multiLevelType w:val="multilevel"/>
    <w:tmpl w:val="1F5407DF"/>
    <w:lvl w:ilvl="0">
      <w:start w:val="1"/>
      <w:numFmt w:val="decimal"/>
      <w:lvlText w:val="（%1）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B40"/>
    <w:rsid w:val="00026C98"/>
    <w:rsid w:val="000A0FAF"/>
    <w:rsid w:val="000D53EF"/>
    <w:rsid w:val="000E1527"/>
    <w:rsid w:val="000E6931"/>
    <w:rsid w:val="000F72DB"/>
    <w:rsid w:val="0015652E"/>
    <w:rsid w:val="001A658E"/>
    <w:rsid w:val="001C02A1"/>
    <w:rsid w:val="001C3F4C"/>
    <w:rsid w:val="001D3299"/>
    <w:rsid w:val="001F613F"/>
    <w:rsid w:val="00245177"/>
    <w:rsid w:val="002754F3"/>
    <w:rsid w:val="00291496"/>
    <w:rsid w:val="002F3889"/>
    <w:rsid w:val="0031048B"/>
    <w:rsid w:val="0033423F"/>
    <w:rsid w:val="00335872"/>
    <w:rsid w:val="00345201"/>
    <w:rsid w:val="003751C3"/>
    <w:rsid w:val="003F47DC"/>
    <w:rsid w:val="0040038F"/>
    <w:rsid w:val="0040569F"/>
    <w:rsid w:val="00407EE6"/>
    <w:rsid w:val="00426640"/>
    <w:rsid w:val="004318C9"/>
    <w:rsid w:val="00437682"/>
    <w:rsid w:val="00447411"/>
    <w:rsid w:val="00461237"/>
    <w:rsid w:val="00480892"/>
    <w:rsid w:val="004F32BB"/>
    <w:rsid w:val="00503953"/>
    <w:rsid w:val="005141D5"/>
    <w:rsid w:val="005213FA"/>
    <w:rsid w:val="00527B0F"/>
    <w:rsid w:val="00546787"/>
    <w:rsid w:val="00552882"/>
    <w:rsid w:val="005610EE"/>
    <w:rsid w:val="00570F67"/>
    <w:rsid w:val="00585E03"/>
    <w:rsid w:val="005B0946"/>
    <w:rsid w:val="005F5FDA"/>
    <w:rsid w:val="00626A45"/>
    <w:rsid w:val="0063046F"/>
    <w:rsid w:val="00640EF1"/>
    <w:rsid w:val="0064237B"/>
    <w:rsid w:val="006C1B6D"/>
    <w:rsid w:val="006C1E6B"/>
    <w:rsid w:val="006C4BFB"/>
    <w:rsid w:val="006F6992"/>
    <w:rsid w:val="00702267"/>
    <w:rsid w:val="007104D3"/>
    <w:rsid w:val="007131C6"/>
    <w:rsid w:val="00733EC7"/>
    <w:rsid w:val="00761397"/>
    <w:rsid w:val="00786435"/>
    <w:rsid w:val="007C3882"/>
    <w:rsid w:val="00804EF1"/>
    <w:rsid w:val="0085571F"/>
    <w:rsid w:val="0087084B"/>
    <w:rsid w:val="008A408B"/>
    <w:rsid w:val="008A5E84"/>
    <w:rsid w:val="008B1509"/>
    <w:rsid w:val="009251FF"/>
    <w:rsid w:val="00931472"/>
    <w:rsid w:val="00937815"/>
    <w:rsid w:val="009A78C8"/>
    <w:rsid w:val="009B3BAE"/>
    <w:rsid w:val="00A17D6F"/>
    <w:rsid w:val="00A204A0"/>
    <w:rsid w:val="00A35C7F"/>
    <w:rsid w:val="00A47A6C"/>
    <w:rsid w:val="00A55929"/>
    <w:rsid w:val="00A63E27"/>
    <w:rsid w:val="00A7616B"/>
    <w:rsid w:val="00A81B40"/>
    <w:rsid w:val="00A97A82"/>
    <w:rsid w:val="00AA4409"/>
    <w:rsid w:val="00AB22EB"/>
    <w:rsid w:val="00AD7E0F"/>
    <w:rsid w:val="00AE5797"/>
    <w:rsid w:val="00B100CB"/>
    <w:rsid w:val="00B44A6A"/>
    <w:rsid w:val="00B61C61"/>
    <w:rsid w:val="00B67202"/>
    <w:rsid w:val="00B71DC8"/>
    <w:rsid w:val="00B73458"/>
    <w:rsid w:val="00B7760D"/>
    <w:rsid w:val="00B9762B"/>
    <w:rsid w:val="00BC44CB"/>
    <w:rsid w:val="00BC60D5"/>
    <w:rsid w:val="00C115A9"/>
    <w:rsid w:val="00C42F90"/>
    <w:rsid w:val="00C45250"/>
    <w:rsid w:val="00C454BE"/>
    <w:rsid w:val="00C73A62"/>
    <w:rsid w:val="00C86CE2"/>
    <w:rsid w:val="00CB70D9"/>
    <w:rsid w:val="00CC1A2F"/>
    <w:rsid w:val="00CD42D4"/>
    <w:rsid w:val="00CF47F2"/>
    <w:rsid w:val="00D03F04"/>
    <w:rsid w:val="00D41D8A"/>
    <w:rsid w:val="00DA2B7D"/>
    <w:rsid w:val="00DC08E7"/>
    <w:rsid w:val="00DF5719"/>
    <w:rsid w:val="00E23C71"/>
    <w:rsid w:val="00E30F1B"/>
    <w:rsid w:val="00E57D02"/>
    <w:rsid w:val="00E73193"/>
    <w:rsid w:val="00EC4D7D"/>
    <w:rsid w:val="00ED2D62"/>
    <w:rsid w:val="00EE257A"/>
    <w:rsid w:val="00F21E50"/>
    <w:rsid w:val="00F2275D"/>
    <w:rsid w:val="00F53C37"/>
    <w:rsid w:val="00F87B22"/>
    <w:rsid w:val="00FB325D"/>
    <w:rsid w:val="00FB4F05"/>
    <w:rsid w:val="00FE4421"/>
    <w:rsid w:val="00FF2AB7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7DD9"/>
  <w15:docId w15:val="{21C2E6ED-6E82-4B3C-BA29-CF74130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602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60"/>
      <w:ind w:left="599"/>
    </w:pPr>
    <w:rPr>
      <w:sz w:val="24"/>
      <w:szCs w:val="24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qFormat/>
    <w:pPr>
      <w:snapToGrid w:val="0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cs="Times New Roman" w:hint="eastAsia"/>
      <w:kern w:val="2"/>
      <w:sz w:val="24"/>
      <w:szCs w:val="24"/>
      <w:lang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qFormat/>
    <w:rPr>
      <w:color w:val="800080"/>
      <w:u w:val="single"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footnote reference"/>
    <w:basedOn w:val="a0"/>
    <w:uiPriority w:val="99"/>
    <w:rPr>
      <w:vertAlign w:val="superscript"/>
    </w:r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批注框文本 字符"/>
    <w:basedOn w:val="a0"/>
    <w:link w:val="a5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af2">
    <w:name w:val="报告书正文"/>
    <w:basedOn w:val="a"/>
    <w:qFormat/>
    <w:pPr>
      <w:autoSpaceDE/>
      <w:autoSpaceDN/>
      <w:spacing w:beforeLines="50" w:afterLines="50" w:line="360" w:lineRule="auto"/>
      <w:ind w:firstLineChars="200" w:firstLine="200"/>
      <w:jc w:val="both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sz w:val="24"/>
      <w:szCs w:val="24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ac">
    <w:name w:val="脚注文本 字符"/>
    <w:basedOn w:val="a0"/>
    <w:link w:val="ab"/>
    <w:uiPriority w:val="99"/>
    <w:rPr>
      <w:rFonts w:ascii="宋体" w:eastAsia="宋体" w:hAnsi="宋体" w:cs="宋体"/>
      <w:sz w:val="18"/>
      <w:szCs w:val="18"/>
      <w:lang w:val="en" w:eastAsia="en-US"/>
    </w:rPr>
  </w:style>
  <w:style w:type="character" w:customStyle="1" w:styleId="PBBodyChar">
    <w:name w:val="PB Body Char"/>
    <w:link w:val="PBBody"/>
    <w:qFormat/>
    <w:rPr>
      <w:lang w:val="en"/>
    </w:rPr>
  </w:style>
  <w:style w:type="paragraph" w:customStyle="1" w:styleId="PBBody">
    <w:name w:val="PB Body"/>
    <w:basedOn w:val="a"/>
    <w:link w:val="PBBodyChar"/>
    <w:qFormat/>
    <w:pPr>
      <w:adjustRightInd w:val="0"/>
      <w:spacing w:before="240"/>
      <w:jc w:val="both"/>
    </w:pPr>
    <w:rPr>
      <w:rFonts w:ascii="Calibri" w:hAnsi="Calibri"/>
      <w:sz w:val="20"/>
      <w:szCs w:val="20"/>
      <w:lang w:eastAsia="zh-CN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4E40-129E-407B-A017-582F3E55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\376\377\0006\0000\0000\0000\0006\0007\000_\0002\0000\0001\0001\0001\0002\0000\0007\000_\0001\000_\000-\000\000\000\000\000\000\000\000\000\000\000\000\000\000\000\000\000-\000\000\000\000\0002\0000\0001\0001\000-\0000\0003\0002\000\000\000\000\000\000\00</vt:lpstr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0006\0000\0000\0000\0006\0007\000_\0002\0000\0001\0001\0001\0002\0000\0007\000_\0001\000_\000-\000\000\000\000\000\000\000\000\000\000\000\000\000\000\000\000\000-\000\000\000\000\0002\0000\0001\0001\000-\0000\0003\0002\000\000\000\000\000\000\000\000\000\000\000\000\000\000\000\000\000\000\000\000\000\000\000\000\000\000\000\000\000\000\000\000\000\000\000\000\000\000\000\000\000\000\000\000\000\000\000\000</dc:title>
  <dc:creator>\376\377\000A\000d\000m\000i\000n\000i\000s\000t\000r\000a\000t\000o\000r</dc:creator>
  <cp:lastModifiedBy>余浩</cp:lastModifiedBy>
  <cp:revision>4</cp:revision>
  <cp:lastPrinted>2024-04-16T09:28:00Z</cp:lastPrinted>
  <dcterms:created xsi:type="dcterms:W3CDTF">2025-05-23T09:36:00Z</dcterms:created>
  <dcterms:modified xsi:type="dcterms:W3CDTF">2025-06-03T06:05:00Z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2011-12-06T00:00:00Z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2017-12-13T00:00:00Z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5CF57C43BA9E42C2BB7116401CEE47F9</vt:lpwstr>
  </property>
</Properties>
</file>